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Klauzula informacyjna ŚWIADCZENIA RODZINNE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Trzcianne.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przyjmowania i rozpatrywania wniosków i wydawania decyzji z zakresu świadczeń rodzinnych, a ich przetwarzanie jest niezbędne do wypełnienia obowiązków prawnych ciążących na Administratorze, na podstawie Art. 6 ust. 1 lit. c, e RODO, ustawy z 28.11.2003 r. o świadczeniach rodzinnych,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wskazanych powyżej, gdy przetwarzanie danych następuje za zgodą osoby, której dane dotyczą – podstawę przetwarzania stanowi art. 6 ust. 1 lit. a RODO, a gdy przetwarzane na podstawie zgody są dane szczególne – art. 9 ust. 2 lit. a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zawarcia i wykonania umów z kontrahentami administratora - na podstawie art. 6 ust. 1 lit. b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ochrony żywotnych interesów osoby, której dane dotyczą lub innej osoby fizycznej - na podstawie art. 6 ust. 1 lit. d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w pozostałym zakresie jest dobrowolne.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Dane osobowe nie będą przekazywane do organizacji międzynarodowej. Będą przekazywane do państwa trzeciego jeżeli osoba pobiera / ubiega się o pobieranie świadczeń rodzinnych w tym państwie.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>(data i podpis)</w:t>
      </w:r>
    </w:p>
    <w:sectPr>
      <w:type w:val="nextPage"/>
      <w:pgSz w:w="11906" w:h="16838"/>
      <w:pgMar w:left="1417" w:right="1129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521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d521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d521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d5215"/>
    <w:rPr>
      <w:rFonts w:ascii="Tahoma" w:hAnsi="Tahoma" w:eastAsia="Times New Roman" w:cs="Tahoma"/>
      <w:sz w:val="16"/>
      <w:szCs w:val="16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d52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d521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521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1</Pages>
  <Words>527</Words>
  <Characters>3138</Characters>
  <CharactersWithSpaces>3741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2024-12-09T10:47:28Z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