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POMOC SPOŁECZNA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  <w:br/>
        <w:t>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Standard"/>
        <w:numPr>
          <w:ilvl w:val="0"/>
          <w:numId w:val="2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rozpatrzenia wniosku o udzielenie świadczeń pieniężnych i niepieniężnych z pomocy społecznej, potwierdzania prawa do świadczeń opieki zdrowotnej  oraz ich realizacji na podstawie na art. 6 ust. 1 lit. c, e RODO i art.  9 ust. 2 lit. b RODO ( gdy dotyczy danych szczególnych ) w związku z u</w:t>
      </w:r>
      <w:r>
        <w:rPr>
          <w:rFonts w:cs="Times New Roman" w:ascii="Times New Roman" w:hAnsi="Times New Roman"/>
          <w:color w:val="202020"/>
        </w:rPr>
        <w:t>stawą z dnia z dnia 12 marca 2004 r. o pomocy społecznej (art. 100 ust. 2 i in.), ustawą z dnia 27 sierpnia 2004 r. o świadczeniach opieki zdrowotnej finansowanych ze środków publicznych (art. 54 ust. 11 i in.),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</w:t>
      </w:r>
      <w:bookmarkStart w:id="0" w:name="_GoBack"/>
      <w:bookmarkEnd w:id="0"/>
      <w:r>
        <w:rPr>
          <w:rFonts w:cs="Times New Roman" w:ascii="Times New Roman" w:hAnsi="Times New Roman"/>
        </w:rPr>
        <w:t>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niezbędne do rozpatrzenia wniosku.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dd4d60"/>
    <w:rPr>
      <w:b/>
      <w:bCs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d4d60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LibreOffice/7.4.1.2$Windows_X86_64 LibreOffice_project/3c58a8f3a960df8bc8fd77b461821e42c061c5f0</Application>
  <AppVersion>15.0000</AppVersion>
  <Pages>1</Pages>
  <Words>435</Words>
  <Characters>2552</Characters>
  <CharactersWithSpaces>2972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2024-12-09T10:46:07Z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