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FUNDUSZ ALIMENTACYJNY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a) przyjmowania i rozpatrywania wniosków i wydawania decyzji w sprawie świadczeń z funduszu alimentacyjnego, a ich przetwarzanie jest niezbędne do wypełnienia obowiązków prawnych ciążących na Administratorze, na podstawie Art. 6 ust. 1 lit. c, e RODO, </w:t>
      </w:r>
      <w:r>
        <w:rPr>
          <w:color w:val="000000"/>
          <w:sz w:val="22"/>
          <w:szCs w:val="22"/>
        </w:rPr>
        <w:t>ustawy z dnia 7 września 2007 r. o pomocy osobom uprawnionym do alimentów,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ochrony żywotnych interesów osoby, której dane dotyczą lub innej osoby fizycznej - na podstawie Art. 6 ust. 1 lit. d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wskazanych powyżej, gdy przetwarzanie odbywa się za zgodą osoby, której dane dotyczą - na podstawie Art. 6 ust. 1 lit. a RODO, a gdy przetwarzane na podstawie zgody są dane szczególne – na podstawie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Linenumber">
    <w:name w:val="line number"/>
    <w:basedOn w:val="DefaultParagraphFont"/>
    <w:uiPriority w:val="99"/>
    <w:semiHidden/>
    <w:unhideWhenUsed/>
    <w:qFormat/>
    <w:rsid w:val="009d5d5a"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500</Words>
  <Characters>2955</Characters>
  <CharactersWithSpaces>3438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2024-12-09T10:43:08Z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